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Scope</w:t>
      </w:r>
    </w:p>
    <w:p>
      <w:pPr>
        <w:jc w:val="both"/>
        <w:spacing w:before="100" w:after="100"/>
        <w:ind w:start="360"/>
        <w:ind w:firstLine="360"/>
      </w:pPr>
      <w:r>
        <w:rPr/>
      </w:r>
      <w:r>
        <w:rPr/>
      </w:r>
      <w:r>
        <w:t xml:space="preserve">This Code applies to express trusts, charitable or noncharitable, and trusts created pursuant to a statute, judgment or decree that requires the trust to be administered in the manner of an express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