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Rules of construction</w:t>
      </w:r>
    </w:p>
    <w:p>
      <w:pPr>
        <w:jc w:val="both"/>
        <w:spacing w:before="100" w:after="100"/>
        <w:ind w:start="360"/>
        <w:ind w:firstLine="360"/>
      </w:pPr>
      <w:r>
        <w:rPr/>
      </w:r>
      <w:r>
        <w:rPr/>
      </w:r>
      <w:r>
        <w:t xml:space="preserve">The rules of construction that apply in this State to the interpretation of and disposition of property by will also apply as appropriate to the interpretation of the terms of a trust and the disposition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§112.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