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Short title</w:t>
      </w:r>
    </w:p>
    <w:p>
      <w:pPr>
        <w:jc w:val="both"/>
        <w:spacing w:before="100" w:after="100"/>
        <w:ind w:start="360"/>
        <w:ind w:firstLine="360"/>
      </w:pPr>
      <w:r>
        <w:rPr/>
      </w:r>
      <w:r>
        <w:rPr/>
      </w:r>
      <w:r>
        <w:t xml:space="preserve">This Act may be known and cited as "the Maine Uniform Trust Decanting Act."  Any references in this chapter to "Act" mean "the Maine Uniform Trust Decanting Act."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