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Duration of 2nd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Duration of 2nd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§1219. DURATION OF 2ND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