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Duty and liability of directed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Duty and liability of directed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§2109. DUTY AND LIABILITY OF DIRECTED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