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w:t>
        <w:t xml:space="preserve">.  </w:t>
      </w:r>
      <w:r>
        <w:rPr>
          <w:b/>
        </w:rPr>
        <w:t xml:space="preserve">Jurisdiction over trust director</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By accepting appointment as a trust director of a trust subject to this Act, the director submits to personal jurisdiction of the courts of this State regarding any matter related to a power or duty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Other methods not excluded.</w:t>
        <w:t xml:space="preserve"> </w:t>
      </w:r>
      <w:r>
        <w:t xml:space="preserve"> </w:t>
      </w:r>
      <w:r>
        <w:t xml:space="preserve">This section does not preclude other methods of obtaining jurisdiction over a trust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§2115. Jurisdiction over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 Jurisdiction over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§2115. JURISDICTION OVER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