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Charitable purpos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Charitable purpos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5. CHARITABLE PURPOS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