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Modification or termination of trust; proceedings for approval or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Modification or termination of trust; proceedings for approval or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§410. MODIFICATION OR TERMINATION OF TRUST; PROCEEDINGS FOR APPROVAL OR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