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§412. MODIFICATION OR TERMINATION BECAUSE OF UNANTICIPATED CIRCUMSTANCES OR INABILITY TO ADMINISTER TRUST EFFECTIVELY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