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Capacity of settlor of revocable trust</w:t>
      </w:r>
    </w:p>
    <w:p>
      <w:pPr>
        <w:jc w:val="both"/>
        <w:spacing w:before="100" w:after="100"/>
        <w:ind w:start="360"/>
        <w:ind w:firstLine="360"/>
      </w:pPr>
      <w:r>
        <w:rPr/>
      </w:r>
      <w:r>
        <w:rPr/>
      </w:r>
      <w:r>
        <w:t xml:space="preserve">The capacity required to create, amend, revoke or add property to a revocable trust, or to direct the actions of the trustee of a revocable trust, is the same as that required to make a will.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Capacity of settlor of revocable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Capacity of settlor of revocable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§601. CAPACITY OF SETTLOR OF REVOCABLE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