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Applicability</w:t>
      </w:r>
    </w:p>
    <w:p>
      <w:pPr>
        <w:jc w:val="both"/>
        <w:spacing w:before="100" w:after="100"/>
        <w:ind w:start="360"/>
        <w:ind w:firstLine="360"/>
      </w:pPr>
      <w:r>
        <w:rPr>
          <w:b/>
        </w:rPr>
        <w:t>1</w:t>
        <w:t xml:space="preserve">.  </w:t>
      </w:r>
      <w:r>
        <w:rPr>
          <w:b/>
        </w:rPr>
        <w:t xml:space="preserve">Applicable date.</w:t>
        <w:t xml:space="preserve"> </w:t>
      </w:r>
      <w:r>
        <w:t xml:space="preserve"> </w:t>
      </w:r>
      <w:r>
        <w:t xml:space="preserve">This Act applies to:</w:t>
      </w:r>
    </w:p>
    <w:p>
      <w:pPr>
        <w:jc w:val="both"/>
        <w:spacing w:before="100" w:after="0"/>
        <w:ind w:start="720"/>
      </w:pPr>
      <w:r>
        <w:rPr/>
        <w:t>A</w:t>
        <w:t xml:space="preserve">.  </w:t>
      </w:r>
      <w:r>
        <w:rPr/>
      </w:r>
      <w:r>
        <w:t xml:space="preserve">A fiduciary or agent acting under a will or power of attorney executed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personal representative acting for a decedent who died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conservatorship proceeding commenced before, on or after July 1, 2018;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trustee acting under a trust created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User resident of this State.</w:t>
        <w:t xml:space="preserve"> </w:t>
      </w:r>
      <w:r>
        <w:t xml:space="preserve"> </w:t>
      </w:r>
      <w:r>
        <w:t xml:space="preserve">This Act applies to a custodian if the user resides in this State or resided in this State at the time of the user's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Digital asset of employer.</w:t>
        <w:t xml:space="preserve"> </w:t>
      </w:r>
      <w:r>
        <w:t xml:space="preserve"> </w:t>
      </w:r>
      <w:r>
        <w:t xml:space="preserve">This Act does not apply to a digital asset of an employer used by an employee in the ordinary course of the employer's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