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ind w:firstLine="360"/>
      </w:pPr>
      <w:r>
        <w:rPr/>
      </w:r>
      <w:r>
        <w:rPr/>
      </w:r>
      <w:r>
        <w:t xml:space="preserve">Unless the user prohibited disclosure of digital assets or the court directs otherwise, a custodian shall disclose to the personal representative of the estate of a deceased user a catalog of electronic communications sent or received by the user and digital assets, other than the content of electronic communications, of the user if the representative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Death certificate.</w:t>
        <w:t xml:space="preserve"> </w:t>
      </w:r>
      <w:r>
        <w:t xml:space="preserve"> </w:t>
      </w:r>
      <w:r>
        <w:t xml:space="preserve">A copy of the death certificate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Letters of appointment or court order.</w:t>
        <w:t xml:space="preserve"> </w:t>
      </w:r>
      <w:r>
        <w:t xml:space="preserve"> </w:t>
      </w:r>
      <w:r>
        <w:t xml:space="preserve">A copy of the letters of appointment of the personal representative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An affidavit stating that disclosure of the user's digital assets is reasonably necessary for administration of the estate;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 finding by the court that:</w:t>
      </w:r>
    </w:p>
    <w:p>
      <w:pPr>
        <w:jc w:val="both"/>
        <w:spacing w:before="100" w:after="0"/>
        <w:ind w:start="1080"/>
      </w:pPr>
      <w:r>
        <w:rPr/>
        <w:t>(</w:t>
        <w:t>1</w:t>
        <w:t xml:space="preserve">)  </w:t>
      </w:r>
      <w:r>
        <w:rPr/>
      </w:r>
      <w:r>
        <w:t xml:space="preserve">The user had a specific account with the custodian, identifiable by the information specified in </w:t>
      </w:r>
      <w:r>
        <w:t>paragraph A</w:t>
      </w:r>
      <w:r>
        <w:t xml:space="preserve">; or</w:t>
      </w:r>
    </w:p>
    <w:p>
      <w:pPr>
        <w:jc w:val="both"/>
        <w:spacing w:before="100" w:after="0"/>
        <w:ind w:start="1080"/>
      </w:pPr>
      <w:r>
        <w:rPr/>
        <w:t>(</w:t>
        <w:t>2</w:t>
        <w:t xml:space="preserve">)  </w:t>
      </w:r>
      <w:r>
        <w:rPr/>
      </w:r>
      <w:r>
        <w:t xml:space="preserve">Disclosure of the user's digital assets is reasonably necessary for administration of the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§10-108. Disclosure of other digital assets of deceased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§10-108. Disclosure of other digital assets of deceased user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§10-108. DISCLOSURE OF OTHER DIGITAL ASSETS OF DECEASED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