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Alienage</w:t>
      </w:r>
    </w:p>
    <w:p>
      <w:pPr>
        <w:jc w:val="both"/>
        <w:spacing w:before="100" w:after="100"/>
        <w:ind w:start="360"/>
        <w:ind w:firstLine="360"/>
      </w:pPr>
      <w:r>
        <w:rPr/>
      </w:r>
      <w:r>
        <w:rPr/>
      </w:r>
      <w:r>
        <w:t xml:space="preserve">An individual is not disqualified to take as an heir because the individual or an individual through whom the individual claims is or has been an alien.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Alienage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Alienage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§2-110. ALIENAGE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