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§2-710. WORTHIER-TITLE DOCTRINE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