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Interests in "heirs" and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Interests in "heirs" and like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§2-711. INTERESTS IN "HEIRS" AND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