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Tax qualified disclaimer</w:t>
      </w:r>
    </w:p>
    <w:p>
      <w:pPr>
        <w:jc w:val="both"/>
        <w:spacing w:before="100" w:after="100"/>
        <w:ind w:start="360"/>
        <w:ind w:firstLine="360"/>
      </w:pPr>
      <w:r>
        <w:rPr/>
      </w:r>
      <w:r>
        <w:rPr/>
      </w:r>
      <w:r>
        <w:t xml:space="preserve">Notwithstanding any other provision of this Part, if as a result of a disclaimer or transfer the disclaimed or transferred interest is treated, pursuant to the provisions of 26 United States Code, as amended, or any successor statute, and the regulations promulgated thereunder, as never having been transferred to the disclaimant, the disclaimer or transfer is effective as a disclaimer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§2-914. Tax qualified disclaimer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Tax qualified disclaimer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§2-914. TAX QUALIFIED DISCLAIMER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