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Proceedings affecting devolution and administration; jurisdiction of subject matter</w:t>
      </w:r>
    </w:p>
    <w:p>
      <w:pPr>
        <w:jc w:val="both"/>
        <w:spacing w:before="100" w:after="100"/>
        <w:ind w:start="360"/>
        <w:ind w:firstLine="360"/>
      </w:pPr>
      <w:r>
        <w:rPr/>
      </w:r>
      <w:r>
        <w:rPr/>
      </w:r>
      <w:r>
        <w:t xml:space="preserve">Persons interested in decedents' estates may apply to the register for determination in the informal proceedings provided in this Article and may petition the court for orders in formal proceedings within the court's jurisdiction including but not limited to those described in this Article.  The court has exclusive jurisdiction of formal proceedings to determine how decedents' estates subject to the laws of this State are to be administered, expended and distributed.  The court has concurrent jurisdiction of any other action or proceeding concerning a succession or to which an estate, through a personal representative, may be a party, including actions to determine title to property alleged to belong to the estate, and of any action or proceeding in which property is distributed by a personal representative or its value is sought to be subjected to rights of creditors or successors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 Proceedings affecting devolution and administration; jurisdiction of subject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Proceedings affecting devolution and administration; jurisdiction of subject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§3-105. PROCEEDINGS AFFECTING DEVOLUTION AND ADMINISTRATION; JURISDICTION OF SUBJECT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