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ind w:firstLine="360"/>
      </w:pPr>
      <w:r>
        <w:rPr/>
      </w:r>
      <w:r>
        <w:rPr/>
      </w:r>
      <w:r>
        <w:t xml:space="preserve">In proceedings within the exclusive jurisdiction of the court where notice is required by this Code or by rule, and in proceedings to construe probated wills or determine heirs that concern estates that have not been and cannot now be opened for administration, interested persons may be bound by the orders of the court in respect to property in or subject to the laws of this State by notice in conformity with </w:t>
      </w:r>
      <w:r>
        <w:t>section 1‑401</w:t>
      </w:r>
      <w:r>
        <w:t xml:space="preserve">.  An order is binding on all who are given notice of the proceeding though fewer than all interested persons are notified.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 Proceedings within the jurisdiction of court; service; jurisdiction over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Proceedings within the jurisdiction of court; service; jurisdiction over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§3-106. PROCEEDINGS WITHIN THE JURISDICTION OF COURT; SERVICE; JURISDICTION OVER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