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§3-202. APPOINTMENT OR TESTACY PROCEEDINGS; CONFLICTING CLAIM OF DOMICILE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