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ind w:firstLine="360"/>
      </w:pPr>
      <w:r>
        <w:rPr/>
      </w:r>
      <w:r>
        <w:rPr/>
      </w:r>
      <w:r>
        <w:t xml:space="preserve">If an application for informal appointment indicates the existence of a possible unrevoked testamentary instrument that may relate to property subject to the laws of this State and that is not filed for probate in the court, the register must decline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 Informal appointment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Informal appointment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§3-311. INFORMAL APPOINTMENT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