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Supervised administration; effect on other proceedings</w:t>
      </w:r>
    </w:p>
    <w:p>
      <w:pPr>
        <w:jc w:val="both"/>
        <w:spacing w:before="100" w:after="0"/>
        <w:ind w:start="360"/>
        <w:ind w:firstLine="360"/>
      </w:pPr>
      <w:r>
        <w:rPr>
          <w:b/>
        </w:rPr>
        <w:t>1</w:t>
        <w:t xml:space="preserve">.  </w:t>
      </w:r>
      <w:r>
        <w:rPr>
          <w:b/>
        </w:rPr>
        <w:t xml:space="preserve">Effect on application for informal proceedings.</w:t>
        <w:t xml:space="preserve"> </w:t>
      </w:r>
      <w:r>
        <w:t xml:space="preserve"> </w:t>
      </w:r>
      <w:r>
        <w:t xml:space="preserve">The pendency of a proceeding for supervised administration of a decedent's estate stays action on any informal application then pending or thereafter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Effect on will probated in informal proceedings.</w:t>
        <w:t xml:space="preserve"> </w:t>
      </w:r>
      <w:r>
        <w:t xml:space="preserve"> </w:t>
      </w:r>
      <w:r>
        <w:t xml:space="preserve">If a will has been previously probated in informal proceedings, the effect of the filing of a petition for supervised administration is as provided for formal testacy proceedings by </w:t>
      </w:r>
      <w:r>
        <w:t>section 3‑401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on personal representative.</w:t>
        <w:t xml:space="preserve"> </w:t>
      </w:r>
      <w:r>
        <w:t xml:space="preserve"> </w:t>
      </w:r>
      <w:r>
        <w:t xml:space="preserve">After receiving notice of the filing of a petition for supervised administration, a personal representative who has been appointed previously may not exercise the power to distribute any estate.  The filing of the petition does not affect the personal representative's other powers and duties unless the court restricts the exercise of any of them pending full hearing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§3-503. Supervised administration; effect on other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Supervised administration; effect on other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§3-503. SUPERVISED ADMINISTRATION; EFFECT ON OTHER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