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3-617</w:t>
        <w:t xml:space="preserve">.  </w:t>
      </w:r>
      <w:r>
        <w:rPr>
          <w:b/>
        </w:rPr>
        <w:t xml:space="preserve">Special administrator; formal proceedings; power and duties</w:t>
      </w:r>
    </w:p>
    <w:p>
      <w:pPr>
        <w:jc w:val="both"/>
        <w:spacing w:before="100" w:after="100"/>
        <w:ind w:start="360"/>
        <w:ind w:firstLine="360"/>
      </w:pPr>
      <w:r>
        <w:rPr/>
      </w:r>
      <w:r>
        <w:rPr/>
      </w:r>
      <w:r>
        <w:t xml:space="preserve">A special administrator appointed by order of the court in any formal proceeding has the power of a general personal representative except as limited in the appointment and duties as prescribed in the order.  The appointment may be for a specified time, to perform particular acts or on other terms as the court may direct.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§3-617. Special administrator; formal proceedings; power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§3-617. Special administrator; formal proceedings; power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§3-617. SPECIAL ADMINISTRATOR; FORMAL PROCEEDINGS; POWER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