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ind w:firstLine="360"/>
      </w:pPr>
      <w:r>
        <w:rPr/>
      </w:r>
      <w:r>
        <w:rPr/>
      </w:r>
      <w:r>
        <w:t xml:space="preserve">If the exercise of power concerning the estate is improper, the personal representative is liable to interested persons for damage or loss resulting from breach of the personal representative's fiduciary duty to the same extent as a trustee of an express trust.  The rights of purchasers and others dealing with a personal representative must be determined as provided in </w:t>
      </w:r>
      <w:r>
        <w:t>sections 3‑713</w:t>
      </w:r>
      <w:r>
        <w:t xml:space="preserve"> and </w:t>
      </w:r>
      <w:r>
        <w:t>3‑714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§3-712. IMPROPER EXERCISE OF POWER; BREACH OF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