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Encumbered assets</w:t>
      </w:r>
    </w:p>
    <w:p>
      <w:pPr>
        <w:jc w:val="both"/>
        <w:spacing w:before="100" w:after="100"/>
        <w:ind w:start="360"/>
        <w:ind w:firstLine="360"/>
      </w:pPr>
      <w:r>
        <w:rPr/>
      </w:r>
      <w:r>
        <w:rPr/>
      </w:r>
      <w:r>
        <w:t xml:space="preserve">If any assets of the estate are encumbered by mortgage, pledge, lien or other security interest, the personal representative may pay the encumbrance or any part of the encumbrance, renew or extend any obligation secured by the encumbrance or convey or transfer the assets to the creditor in satisfaction of the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§3-814. Encumbered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Encumbered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§3-814. ENCUMBERED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