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Final distribution to domiciliary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§3-816. FINAL DISTRIBUTION TO DOMICILIARY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