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ind w:firstLine="360"/>
      </w:pPr>
      <w:r>
        <w:rPr/>
      </w:r>
      <w:r>
        <w:rPr/>
      </w:r>
      <w:r>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the distributee or claimant has the property.  If the distributee or claimant does not have the property, then the distributee or claimant is liable to return the value as of the date of disposition of the property improperly received and income and gain received by the distributee or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§3-909. Improper distribution; liability of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Improper distribution; liability of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§3-909. IMPROPER DISTRIBUTION; LIABILITY OF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