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ind w:firstLine="360"/>
      </w:pPr>
      <w:r>
        <w:rPr/>
      </w:r>
      <w:r>
        <w:rPr/>
      </w:r>
      <w:r>
        <w:t xml:space="preserve">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or deliver the personal property or the instrument evidencing the debt, obligation, stock or chose in action to the domiciliary foreign personal representative of the nonresident decedent upon being presented with proof of the domiciliary foreign personal representative's appointment and an affidavit made by or on behalf of the representative stating: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Date of death.</w:t>
        <w:t xml:space="preserve"> </w:t>
      </w:r>
      <w:r>
        <w:t xml:space="preserve"> </w:t>
      </w:r>
      <w:r>
        <w:t xml:space="preserve">The date of the death of the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local administration.</w:t>
        <w:t xml:space="preserve"> </w:t>
      </w:r>
      <w:r>
        <w:t xml:space="preserve"> </w:t>
      </w:r>
      <w:r>
        <w:t xml:space="preserve">That no local administration, or application or petition for local administration, is pending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 authority.</w:t>
        <w:t xml:space="preserve"> </w:t>
      </w:r>
      <w:r>
        <w:t xml:space="preserve"> </w:t>
      </w:r>
      <w:r>
        <w:t xml:space="preserve">That the domiciliary foreign personal representative is entitled to payment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§4-201. PAYMENT OF DEBT AND DELIVERY OF PROPERTY TO DOMICILIARY FOREIGN PERSONAL REPRESENTATIVE WITHOUT LOCAL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