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Parental appointment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Parental appointment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§5-202. PARENTAL APPOINTMENT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