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5-306</w:t>
        <w:t xml:space="preserve">.  </w:t>
      </w:r>
      <w:r>
        <w:rPr>
          <w:b/>
        </w:rPr>
        <w:t xml:space="preserve">Professional evaluation</w:t>
      </w:r>
    </w:p>
    <w:p>
      <w:pPr>
        <w:jc w:val="both"/>
        <w:spacing w:before="100" w:after="100"/>
        <w:ind w:start="360"/>
        <w:ind w:firstLine="360"/>
      </w:pPr>
      <w:r>
        <w:rPr>
          <w:b/>
        </w:rPr>
        <w:t>1</w:t>
        <w:t xml:space="preserve">.  </w:t>
      </w:r>
      <w:r>
        <w:rPr>
          <w:b/>
        </w:rPr>
        <w:t xml:space="preserve">Evaluation; report.</w:t>
        <w:t xml:space="preserve"> </w:t>
      </w:r>
      <w:r>
        <w:t xml:space="preserve"> </w:t>
      </w:r>
      <w:r>
        <w:t xml:space="preserve">In every adult guardianship matter, the respondent must be examined by a medical practitioner who is acceptable to the court and who is qualified to evaluate the respondent's alleged cognitive and functional abilities.  The individual conducting the evaluation shall file a report in a record with the court at least 10 days before any hearing on the petition.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and recommendation for the appropriate treatment, support or habilitation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As used in this subsection, "medical practitioner" means a licensed physician, a licensed physician assistant, a certified psychiatric clinical nurse specialist, a certified nurse practitioner or a licensed clinical psychologist.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§4 (AMD).]</w:t>
      </w:r>
    </w:p>
    <w:p>
      <w:pPr>
        <w:jc w:val="both"/>
        <w:spacing w:before="100" w:after="0"/>
        <w:ind w:start="360"/>
        <w:ind w:firstLine="360"/>
      </w:pPr>
      <w:r>
        <w:rPr>
          <w:b/>
        </w:rPr>
        <w:t>2</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276, §1 (AMD). PL 2019, c. 417, Pt. A, §27 (AMD). PL 2019, c. 417, Pt. B, §14 (AFF). PL 2019, c. 627,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§5-306. Professional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§5-306. Professional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§5-306. PROFESSIONAL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