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§5-420. INVENTORY;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