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5-624</w:t>
        <w:t xml:space="preserve">.  </w:t>
      </w:r>
      <w:r>
        <w:rPr>
          <w:b/>
        </w:rPr>
        <w:t xml:space="preserve">Special jurisdiction</w:t>
      </w:r>
    </w:p>
    <w:p>
      <w:pPr>
        <w:jc w:val="both"/>
        <w:spacing w:before="100" w:after="100"/>
        <w:ind w:start="360"/>
        <w:ind w:firstLine="360"/>
      </w:pPr>
      <w:r>
        <w:rPr>
          <w:b/>
        </w:rPr>
        <w:t>1</w:t>
        <w:t xml:space="preserve">.  </w:t>
      </w:r>
      <w:r>
        <w:rPr>
          <w:b/>
        </w:rPr>
        <w:t xml:space="preserve">Special jurisdiction.</w:t>
        <w:t xml:space="preserve"> </w:t>
      </w:r>
      <w:r>
        <w:t xml:space="preserve"> </w:t>
      </w:r>
      <w:r>
        <w:t xml:space="preserve">If this State is not the respondent's home state and not a significant-connection state, a court of this State has special jurisdiction to do any of the following:</w:t>
      </w:r>
    </w:p>
    <w:p>
      <w:pPr>
        <w:jc w:val="both"/>
        <w:spacing w:before="100" w:after="0"/>
        <w:ind w:start="720"/>
      </w:pPr>
      <w:r>
        <w:rPr/>
        <w:t>A</w:t>
        <w:t xml:space="preserve">.  </w:t>
      </w:r>
      <w:r>
        <w:rPr/>
      </w:r>
      <w:r>
        <w:t xml:space="preserve">Appoint a guardian in an emergency for a term not exceeding 6 months for a respondent who is physically present in this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Issue a protective order with respect to real or tangible personal property located in this State;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Appoint a guardian or conservator for an individual subject to guardianship or protected person for whom a provisional order to transfer the proceeding from another state has been issued under procedures similar to those in </w:t>
      </w:r>
      <w:r>
        <w:t>section 5‑631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Emergency appointment.</w:t>
        <w:t xml:space="preserve"> </w:t>
      </w:r>
      <w:r>
        <w:t xml:space="preserve"> </w:t>
      </w:r>
      <w:r>
        <w:t xml:space="preserve">If a petition for the appointment of a guardian in an emergency is brought in this State and this State was not the respondent's home state on the date the petition was filed, the court shall dismiss the proceeding at the request of the court of the home state, if any, whether dismissal is requested before or after the emergency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§5-624. Special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§5-624. Special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§5-624. SPECIAL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