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5-631</w:t>
        <w:t xml:space="preserve">.  </w:t>
      </w:r>
      <w:r>
        <w:rPr>
          <w:b/>
        </w:rPr>
        <w:t xml:space="preserve">Transfer of guardianship or conservatorship to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appointed in this State may petition the court to transfer the guardianship or conservatorship to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the persons that would be entitled to notice of a petition in this State for the appointment of a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or opportunity for hearing.</w:t>
        <w:t xml:space="preserve"> </w:t>
      </w:r>
      <w:r>
        <w:t xml:space="preserve"> </w:t>
      </w:r>
      <w:r>
        <w:t xml:space="preserve">On the court's own motion or on request of the guardian or conservator, the individual subject to guardianship or protected person or other person required to be notified of the petition, the court shall hold a hearing or provide an opportunity for a hearing to be held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 guardianship.</w:t>
        <w:t xml:space="preserve"> </w:t>
      </w:r>
      <w:r>
        <w:t xml:space="preserve"> </w:t>
      </w:r>
      <w:r>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pPr>
        <w:jc w:val="both"/>
        <w:spacing w:before="100" w:after="0"/>
        <w:ind w:start="720"/>
      </w:pPr>
      <w:r>
        <w:rPr/>
        <w:t>A</w:t>
        <w:t xml:space="preserve">.  </w:t>
      </w:r>
      <w:r>
        <w:rPr/>
      </w:r>
      <w:r>
        <w:t xml:space="preserve">The individual subject to guardianship is physically present in or is reasonably expected to move permanently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individual subject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Plans for care and services for the individual subject to guardianship in the other state are reasonable and sufficient.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Provisional order; conservatorship.</w:t>
        <w:t xml:space="preserve"> </w:t>
      </w:r>
      <w:r>
        <w:t xml:space="preserve"> </w:t>
      </w:r>
      <w:r>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pPr>
        <w:jc w:val="both"/>
        <w:spacing w:before="100" w:after="0"/>
        <w:ind w:start="720"/>
      </w:pPr>
      <w:r>
        <w:rPr/>
        <w:t>A</w:t>
        <w:t xml:space="preserve">.  </w:t>
      </w:r>
      <w:r>
        <w:rPr/>
      </w:r>
      <w:r>
        <w:t xml:space="preserve">The protected person is physically present in or is reasonably expected to move permanently to the other state or the protected person has a significant connection to the other state considering the factors in </w:t>
      </w:r>
      <w:r>
        <w:t>section 5‑621,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Adequate arrangements will be made for management or disposition of the protected person's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Final order.</w:t>
        <w:t xml:space="preserve"> </w:t>
      </w:r>
      <w:r>
        <w:t xml:space="preserve"> </w:t>
      </w:r>
      <w:r>
        <w:t xml:space="preserve">The court shall issue a final order confirming the transfer and terminating the guardianship or conservatorship upon its receipt of:</w:t>
      </w:r>
    </w:p>
    <w:p>
      <w:pPr>
        <w:jc w:val="both"/>
        <w:spacing w:before="100" w:after="0"/>
        <w:ind w:start="720"/>
      </w:pPr>
      <w:r>
        <w:rPr/>
        <w:t>A</w:t>
        <w:t xml:space="preserve">.  </w:t>
      </w:r>
      <w:r>
        <w:rPr/>
      </w:r>
      <w:r>
        <w:t xml:space="preserve">A provisional order accepting the proceeding from the court to which the proceeding is to be transferred that is issued under provisions similar to </w:t>
      </w:r>
      <w:r>
        <w:t>section 5‑632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documents required to terminate a guardianship or conservatorship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§5-631. Transfer of guardianship or conservatorship to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§5-631. Transfer of guardianship or conservatorship to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§5-631. TRANSFER OF GUARDIANSHIP OR CONSERVATORSHIP TO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