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5-813</w:t>
        <w:t xml:space="preserve">.  </w:t>
      </w:r>
      <w:r>
        <w:rPr>
          <w:b/>
        </w:rPr>
        <w:t xml:space="preserve">Effect of copy</w:t>
      </w:r>
    </w:p>
    <w:p>
      <w:pPr>
        <w:jc w:val="both"/>
        <w:spacing w:before="100" w:after="100"/>
        <w:ind w:start="360"/>
        <w:ind w:firstLine="360"/>
      </w:pPr>
      <w:r>
        <w:rPr/>
      </w:r>
      <w:r>
        <w:rPr/>
      </w:r>
      <w:r>
        <w:t xml:space="preserve">A copy of a written advance health care directive, revocation of an advance health care directive or designation or disqualification of a surrogate has the same effect as the original.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§5-813. Effect of copy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§5-813. Effect of copy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§5-813. EFFECT OF COPY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