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ind w:firstLine="360"/>
      </w:pPr>
      <w:r>
        <w:rPr/>
      </w:r>
      <w:r>
        <w:rPr/>
      </w:r>
      <w:r>
        <w:t xml:space="preserve">Unless the power of attorney otherwise provides, an agent is entitled to reimbursement of expenses reasonably incurred on behalf of the principal and to compensation that is reasonable under the circumstances.  The factors set forth in </w:t>
      </w:r>
      <w:r>
        <w:t>section 3‑721, subsection 2</w:t>
      </w:r>
      <w:r>
        <w:t xml:space="preserve"> should be considered as guides in determining the reasonableness of compensation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§5-912. REIMBURSEMENT AND COMPENSATION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