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Transfer on death deed nontestamentary</w:t>
      </w:r>
    </w:p>
    <w:p>
      <w:pPr>
        <w:jc w:val="both"/>
        <w:spacing w:before="100" w:after="100"/>
        <w:ind w:start="360"/>
        <w:ind w:firstLine="360"/>
      </w:pPr>
      <w:r>
        <w:rPr/>
      </w:r>
      <w:r>
        <w:rPr/>
      </w:r>
      <w:r>
        <w:t xml:space="preserve">A transfer on death deed is nontestamentary.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§6-407. Transfer on death deed nontestamentary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Transfer on death deed nontestamentary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§6-407. TRANSFER ON DEATH DEED NONTESTAMENTARY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