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Trustee's power to adjust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Trustee's power to adjust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§7-404. TRUSTEE'S POWER TO ADJUST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