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§7-446. Obligation to pay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§7-446. OBLIGATION TO PAY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