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7-464</w:t>
        <w:t xml:space="preserve">.  </w:t>
      </w:r>
      <w:r>
        <w:rPr>
          <w:b/>
        </w:rPr>
        <w:t xml:space="preserve">Transfers from income to reimburse principal</w:t>
      </w:r>
    </w:p>
    <w:p>
      <w:pPr>
        <w:jc w:val="both"/>
        <w:spacing w:before="100" w:after="0"/>
        <w:ind w:start="360"/>
        <w:ind w:firstLine="360"/>
      </w:pPr>
      <w:r>
        <w:rPr>
          <w:b/>
        </w:rPr>
        <w:t>1</w:t>
        <w:t xml:space="preserve">.  </w:t>
      </w:r>
      <w:r>
        <w:rPr>
          <w:b/>
        </w:rPr>
        <w:t xml:space="preserve">Transfer to reimburse or provide reserve.</w:t>
        <w:t xml:space="preserve"> </w:t>
      </w:r>
      <w:r>
        <w:t xml:space="preserve"> </w:t>
      </w:r>
      <w:r>
        <w:t xml:space="preserve">If a trustee makes or expects to make a principal disbursement described in this section, the trustee may transfer an appropriate amount from income to principal in one or more accounting periods to reimburse principal or to provide a reserve for future principal disbursements.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Applicable principal disbursement.</w:t>
        <w:t xml:space="preserve"> </w:t>
      </w:r>
      <w:r>
        <w:t xml:space="preserve"> </w:t>
      </w:r>
      <w:r>
        <w:t xml:space="preserve">Principal disbursements to which </w:t>
      </w:r>
      <w:r>
        <w:t>subsection 1</w:t>
      </w:r>
      <w:r>
        <w:t xml:space="preserve"> applies include the following, but only to the extent that the trustee has not been and does not expect to be reimbursed by a 3rd party:</w:t>
      </w:r>
    </w:p>
    <w:p>
      <w:pPr>
        <w:jc w:val="both"/>
        <w:spacing w:before="100" w:after="0"/>
        <w:ind w:start="720"/>
      </w:pPr>
      <w:r>
        <w:rPr/>
        <w:t>A</w:t>
        <w:t xml:space="preserve">.  </w:t>
      </w:r>
      <w:r>
        <w:rPr/>
      </w:r>
      <w:r>
        <w:t xml:space="preserve">An amount chargeable to income but paid from principal because it is unusually large, including extraordinary repairs;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capital improvement to a principal asset, whether in the form of changes to an existing asset or the construction of a new asset, including special assessments;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Disbursements made to prepare property for rental, including tenant allowances, leasehold improvements and broker's commissions;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Periodic payments on an obligation secured by a principal asset to the extent that the amount transferred from income to principal for depreciation is less than the periodic payments;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Disbursements described in </w:t>
      </w:r>
      <w:r>
        <w:t>section 7‑462, subsection 1,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Successive income interest.</w:t>
        <w:t xml:space="preserve"> </w:t>
      </w:r>
      <w:r>
        <w:t xml:space="preserve"> </w:t>
      </w:r>
      <w:r>
        <w:t xml:space="preserve">If the asset whose ownership gives rise to the disbursements becomes subject to a successive income interest after an income interest ends, a trustee may continue to transfer amounts from income to principal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§7-464. Transfers from income to reimburse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§7-464. Transfers from income to reimburse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§7-464. TRANSFERS FROM INCOME TO REIMBURSE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