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Warrant</w:t>
      </w:r>
    </w:p>
    <w:p>
      <w:pPr>
        <w:jc w:val="both"/>
        <w:spacing w:before="100" w:after="100"/>
        <w:ind w:start="360"/>
        <w:ind w:firstLine="360"/>
      </w:pPr>
      <w:r>
        <w:rPr/>
      </w:r>
      <w:r>
        <w:rPr/>
      </w:r>
      <w:r>
        <w:t xml:space="preserve">Upon receipt of a petition under </w:t>
      </w:r>
      <w:r>
        <w:t>section 8‑101</w:t>
      </w:r>
      <w:r>
        <w:t xml:space="preserve">, the court may issue a warrant, which may run throughout the State, directed to the public administrator in the county where the property or some of it is situated, commanding the public administrator to take possession of the property listed in the schedule and expeditiously make return of the warrant with a schedule of the property taken.  The public administrator shall cause any portion of the warrant relating to land to be recorded in the registry of deeds for the county where the land is located.  The public administrator is entitled to the fees allowed by the court for serving the warrant, but may not receive more than those established by law for similar service upon a writ of attachment.  The fees and the costs of publishing and serving the notice must be paid by the petitioner.  If a receiver is appointed under </w:t>
      </w:r>
      <w:r>
        <w:t>section 8‑105</w:t>
      </w:r>
      <w:r>
        <w:t xml:space="preserve">, the fees must be repaid by the receiver to the petitioner and the receiver may be compensated for these fees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