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8-105</w:t>
        <w:t xml:space="preserve">.  </w:t>
      </w:r>
      <w:r>
        <w:rPr>
          <w:b/>
        </w:rPr>
        <w:t xml:space="preserve">Hearing; appointment of receiver of property; bond</w:t>
      </w:r>
    </w:p>
    <w:p>
      <w:pPr>
        <w:jc w:val="both"/>
        <w:spacing w:before="100" w:after="100"/>
        <w:ind w:start="360"/>
        <w:ind w:firstLine="360"/>
      </w:pPr>
      <w:r>
        <w:rPr/>
      </w:r>
      <w:r>
        <w:rPr/>
      </w:r>
      <w:r>
        <w:t xml:space="preserve">The absentee or a person who claims an interest in any of the property may appear and show cause why the petition should not be granted.  The court may, after hearing, dismiss the petition and order that the property in possession of the public administrator be returned to the person entitled to the property or it may appoint as receiver a person who, under the law of the State, is entitled to administer the estate of the absentee if the absentee were deceased or, if no eligible person is known or if all eligible persons decline to serve, the court may appoint the public administrator as receiver of the property in the possession of the public administrator and named in the schedule.  If a receiver is appointed, the court shall find and record the date of the absentee's disappearance or absconding and the receiver shall give bond to the State of Maine in a sum and under the conditions ordered by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§8-105. Hearing; appointment of receiver of property;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§8-105. Hearing; appointment of receiver of property;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§8-105. HEARING; APPOINTMENT OF RECEIVER OF PROPERTY;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