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Limitations</w:t>
      </w:r>
    </w:p>
    <w:p>
      <w:pPr>
        <w:jc w:val="both"/>
        <w:spacing w:before="100" w:after="100"/>
        <w:ind w:start="360"/>
        <w:ind w:firstLine="360"/>
      </w:pPr>
      <w:r>
        <w:rPr/>
      </w:r>
      <w:r>
        <w:rPr/>
      </w:r>
      <w:r>
        <w:t xml:space="preserve">Notwithstanding </w:t>
      </w:r>
      <w:r>
        <w:t>sections 8‑112</w:t>
      </w:r>
      <w:r>
        <w:t xml:space="preserve"> and </w:t>
      </w:r>
      <w:r>
        <w:t>8‑113</w:t>
      </w:r>
      <w:r>
        <w:t xml:space="preserve">, if a receiver is not appointed within 7 years after the date of disappearance or absconding found by the court under </w:t>
      </w:r>
      <w:r>
        <w:t>section 8‑105</w:t>
      </w:r>
      <w:r>
        <w:t xml:space="preserve">, the time limited to accounting for, or fixed for distributing, the absentee's property or its proceeds, or for barring actions relative thereto, is one year after the date of the appointment of a receiver.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