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8-202</w:t>
        <w:t xml:space="preserve">.  </w:t>
      </w:r>
      <w:r>
        <w:rPr>
          <w:b/>
        </w:rPr>
        <w:t xml:space="preserve">Surety on bond may cite trust officers for accounting</w:t>
      </w:r>
    </w:p>
    <w:p>
      <w:pPr>
        <w:jc w:val="both"/>
        <w:spacing w:before="100" w:after="100"/>
        <w:ind w:start="360"/>
        <w:ind w:firstLine="360"/>
      </w:pPr>
      <w:r>
        <w:rPr/>
      </w:r>
      <w:r>
        <w:rPr/>
      </w:r>
      <w:r>
        <w:t xml:space="preserve">Whenever a surety on a bond has reason to believe that the trust officer has depleted or is wasting or mismanaging the estate, the surety may cite the trust officer before the court as provided in </w:t>
      </w:r>
      <w:r>
        <w:t>section 3‑110</w:t>
      </w:r>
      <w:r>
        <w:t xml:space="preserve">.  If upon hearing the court is satisfied that the estate held in trust by the trust officer has been depleted, wasted or mismanaged, the court may remove the trust officer and appoint a new trust officer.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§8-202. Surety on bond may cite trust officers for accounting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§8-202. Surety on bond may cite trust officers for accounting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§8-202. SURETY ON BOND MAY CITE TRUST OFFICERS FOR ACCOUNTING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