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8-212</w:t>
        <w:t xml:space="preserve">.  </w:t>
      </w:r>
      <w:r>
        <w:rPr>
          <w:b/>
        </w:rPr>
        <w:t xml:space="preserve">Limitation of actions on bonds</w:t>
      </w:r>
    </w:p>
    <w:p>
      <w:pPr>
        <w:jc w:val="both"/>
        <w:spacing w:before="100" w:after="100"/>
        <w:ind w:start="360"/>
        <w:ind w:firstLine="360"/>
      </w:pPr>
      <w:r>
        <w:rPr/>
      </w:r>
      <w:r>
        <w:rPr/>
      </w:r>
      <w:r>
        <w:t xml:space="preserve">Except in the case of personal representatives provided for under </w:t>
      </w:r>
      <w:r>
        <w:t>sections 3‑1005</w:t>
      </w:r>
      <w:r>
        <w:t xml:space="preserve"> and </w:t>
      </w:r>
      <w:r>
        <w:t>3‑1007</w:t>
      </w:r>
      <w:r>
        <w:t xml:space="preserve">, and whenever applicable under </w:t>
      </w:r>
      <w:r>
        <w:t>section 8‑201</w:t>
      </w:r>
      <w:r>
        <w:t xml:space="preserve">, an action on a bond must be commenced within 6 years after the principal has been cited by the court to appear to settle the account or, if not cited, within 6 years from the time of the breach of the bond, unless the breach is fraudulently concealed by the principal or surety from the persons pecuniarily interested and who are parties to the action, in which case the action must be commenced within 3 years from the time the breach is discovered.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§8-212. Limitation of actions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§8-212. Limitation of actions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§8-212. LIMITATION OF ACTIONS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