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Appeals</w:t>
      </w:r>
    </w:p>
    <w:p>
      <w:pPr>
        <w:jc w:val="both"/>
        <w:spacing w:before="100" w:after="0"/>
        <w:ind w:start="360"/>
        <w:ind w:firstLine="360"/>
      </w:pPr>
      <w:r>
        <w:rPr>
          <w:b/>
        </w:rPr>
        <w:t>1</w:t>
        <w:t xml:space="preserve">.  </w:t>
      </w:r>
      <w:r>
        <w:rPr>
          <w:b/>
        </w:rPr>
        <w:t xml:space="preserve">Appeal; bond not required of child or next friend.</w:t>
        <w:t xml:space="preserve"> </w:t>
      </w:r>
      <w:r>
        <w:t xml:space="preserve"> </w:t>
      </w:r>
      <w:r>
        <w:t xml:space="preserve">Any party may appeal from any order entered under this Article to the Supreme Judicial Court sitting as the Law Court, as in other civil actions, but a bond to prosecute an appeal is not required of a child or next friend and costs may not be awarded against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Appeal expedited.</w:t>
        <w:t xml:space="preserve"> </w:t>
      </w:r>
      <w:r>
        <w:t xml:space="preserve"> </w:t>
      </w:r>
      <w:r>
        <w:t xml:space="preserve">An appeal from any order under this Article must be expedited.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Attorney, guardian ad litem continues.</w:t>
        <w:t xml:space="preserve"> </w:t>
      </w:r>
      <w:r>
        <w:t xml:space="preserve"> </w:t>
      </w:r>
      <w:r>
        <w:t xml:space="preserve">An attorney or guardian ad litem appointed to represent a party in an adoption proceeding continues to represent the interests of that party in any appeal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