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9-310</w:t>
        <w:t xml:space="preserve">.  </w:t>
      </w:r>
      <w:r>
        <w:rPr>
          <w:b/>
        </w:rPr>
        <w:t xml:space="preserve">Records confidential</w:t>
      </w:r>
    </w:p>
    <w:p>
      <w:pPr>
        <w:jc w:val="both"/>
        <w:spacing w:before="100" w:after="100"/>
        <w:ind w:start="360"/>
        <w:ind w:firstLine="360"/>
      </w:pPr>
      <w:r>
        <w:rPr/>
      </w:r>
      <w:r>
        <w:rPr/>
      </w:r>
      <w:r>
        <w:t xml:space="preserve">Notwithstanding any other provision of law and except as provided in </w:t>
      </w:r>
      <w:r>
        <w:t>Title 22, section 2768</w:t>
      </w:r>
      <w:r>
        <w:t xml:space="preserve">, all court records relating to an adoption decreed on or after August 8, 1953 are confidential.  The court shall keep records of those adoptions segregated from all other court records.  If a court determines that examination of records pertaining to a particular adoption is proper, the court may authorize that examination by specified persons, authorize the register to disclose to specified persons any information contained in the records by letter, certificate or copy of the record or authorize a combination of both examination and disclosure.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Any medical or genetic information in the court records relating to an adoption must be made available to the adopted child when the adopted child attains 18 years of age and to the adopted child's descendants, adoptive parents or legal guardian on petition of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§9-310.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§9-310.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§9-310.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