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109. DESCENT, OMITTED ISSUE, DECEASED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