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COSTS AND FEES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748 (RPR). PL 1979, c. 540, §24-C (RP). </w:t>
      </w:r>
    </w:p>
    <w:p>
      <w:pPr>
        <w:jc w:val="both"/>
        <w:spacing w:before="100" w:after="100"/>
        <w:ind w:start="1080" w:hanging="720"/>
      </w:pPr>
      <w:r>
        <w:rPr>
          <w:b/>
        </w:rPr>
        <w:t>§</w:t>
        <w:t>552</w:t>
        <w:t xml:space="preserve">.  </w:t>
      </w:r>
      <w:r>
        <w:rPr>
          <w:b/>
        </w:rPr>
        <w:t xml:space="preserve">Abstracts of wills for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522 (AMD). PL 1969, c. 307, §§1, 2 (AMD). PL 1973, c. 227, §1 (AMD). PL 1973, c. 451, §§3, 4, 9 (AMD). PL 1979, c. 540, §24-C (RP). </w:t>
      </w:r>
    </w:p>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554</w:t>
        <w:t xml:space="preserve">.  </w:t>
      </w:r>
      <w:r>
        <w:rPr>
          <w:b/>
        </w:rPr>
        <w:t xml:space="preserve">Fees of fiduciaries and surviving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556</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COSTS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COSTS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 COSTS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