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BANKS AND TRUST COMPANIES</w:t>
      </w:r>
    </w:p>
    <w:p>
      <w:pPr>
        <w:jc w:val="center"/>
        <w:ind w:start="360"/>
        <w:spacing w:before="300" w:after="300"/>
      </w:pPr>
      <w:r>
        <w:rPr>
          <w:b/>
        </w:rPr>
        <w:t>SUBCHAPTER</w:t>
        <w:t xml:space="preserve"> </w:t>
        <w:t>1</w:t>
      </w:r>
    </w:p>
    <w:p>
      <w:pPr>
        <w:jc w:val="center"/>
        <w:ind w:start="360"/>
        <w:spacing w:before="300" w:after="300"/>
      </w:pPr>
      <w:r>
        <w:rPr>
          <w:b/>
        </w:rPr>
        <w:t xml:space="preserve">COMMON TRUST FUNDS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NOMINEES</w:t>
      </w:r>
    </w:p>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 BANKS AND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BANKS AND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505. BANKS AND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