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Obligations of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Obligations of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§1552. OBLIGATIONS OF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