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Additional persons subject to jurisdiction</w:t>
      </w:r>
    </w:p>
    <w:p>
      <w:pPr>
        <w:jc w:val="both"/>
        <w:spacing w:before="100" w:after="0"/>
        <w:ind w:start="360"/>
        <w:ind w:firstLine="360"/>
      </w:pPr>
      <w:r>
        <w:rPr>
          <w:b/>
        </w:rPr>
        <w:t>1</w:t>
        <w:t xml:space="preserve">.  </w:t>
      </w:r>
      <w:r>
        <w:rPr>
          <w:b/>
        </w:rPr>
        <w:t xml:space="preserve">Application.</w:t>
        <w:t xml:space="preserve"> </w:t>
      </w:r>
      <w:r>
        <w:t xml:space="preserve"> </w:t>
      </w:r>
      <w:r>
        <w:t xml:space="preserve">To ensure maximum protection to citizens of this State, the department shall apply this section to assert jurisdiction over nonresident alleged fathers to the fullest extent permitted by the due process clause of the United States Constitution, Amendment XIV.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Cause of action.</w:t>
        <w:t xml:space="preserve"> </w:t>
      </w:r>
      <w:r>
        <w:t xml:space="preserve"> </w:t>
      </w:r>
      <w:r>
        <w:t xml:space="preserve">A person who engages in sexual intercourse with a resident of this State in this State submits to the jurisdiction of the department for the purpose of the commencement of a paternity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 Additional persons subject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Additional persons subject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§1602. ADDITIONAL PERSONS SUBJECT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